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D43" w:rsidRDefault="003F4B76" w:rsidP="00BC6D43">
      <w:pPr>
        <w:spacing w:before="100" w:after="100"/>
        <w:jc w:val="both"/>
        <w:rPr>
          <w:b/>
          <w:sz w:val="28"/>
          <w:szCs w:val="28"/>
          <w:u w:val="single"/>
          <w:lang w:val="en-US"/>
        </w:rPr>
      </w:pPr>
      <w:r w:rsidRPr="00BC6D43">
        <w:rPr>
          <w:b/>
          <w:sz w:val="28"/>
          <w:szCs w:val="28"/>
          <w:u w:val="single"/>
          <w:lang w:val="en-US"/>
        </w:rPr>
        <w:t>Istanbul</w:t>
      </w:r>
      <w:r w:rsidR="00BC6D43" w:rsidRPr="00BC6D43">
        <w:rPr>
          <w:b/>
          <w:sz w:val="28"/>
          <w:szCs w:val="28"/>
          <w:u w:val="single"/>
          <w:lang w:val="en-US"/>
        </w:rPr>
        <w:t xml:space="preserve"> Convention</w:t>
      </w:r>
      <w:r>
        <w:rPr>
          <w:b/>
          <w:sz w:val="28"/>
          <w:szCs w:val="28"/>
          <w:u w:val="single"/>
          <w:lang w:val="en-US"/>
        </w:rPr>
        <w:t>, Articles</w:t>
      </w:r>
    </w:p>
    <w:p w:rsidR="003F4B76" w:rsidRPr="00BC6D43" w:rsidRDefault="003F4B76" w:rsidP="00BC6D43">
      <w:pPr>
        <w:spacing w:before="100" w:after="100"/>
        <w:jc w:val="both"/>
        <w:rPr>
          <w:b/>
          <w:sz w:val="28"/>
          <w:szCs w:val="28"/>
          <w:u w:val="single"/>
          <w:lang w:val="en-US"/>
        </w:rPr>
      </w:pPr>
      <w:bookmarkStart w:id="0" w:name="_GoBack"/>
      <w:bookmarkEnd w:id="0"/>
    </w:p>
    <w:p w:rsidR="00BC6D43" w:rsidRDefault="00BC6D43" w:rsidP="00BC6D43">
      <w:pPr>
        <w:spacing w:before="100" w:after="100"/>
        <w:jc w:val="both"/>
        <w:rPr>
          <w:sz w:val="28"/>
          <w:szCs w:val="28"/>
          <w:lang w:val="en-US"/>
        </w:rPr>
      </w:pPr>
    </w:p>
    <w:p w:rsidR="00BC6D43" w:rsidRPr="00D506AE" w:rsidRDefault="00BC6D43" w:rsidP="00BC6D43">
      <w:pPr>
        <w:spacing w:before="100" w:after="100"/>
        <w:jc w:val="both"/>
        <w:rPr>
          <w:rFonts w:ascii="Arial" w:eastAsia="Times New Roman" w:hAnsi="Arial" w:cs="Arial"/>
          <w:color w:val="161616"/>
          <w:sz w:val="24"/>
          <w:szCs w:val="24"/>
          <w:lang w:val="en-US"/>
        </w:rPr>
      </w:pPr>
      <w:r w:rsidRPr="00D506AE">
        <w:rPr>
          <w:rFonts w:ascii="Arial" w:eastAsia="Times New Roman" w:hAnsi="Arial" w:cs="Arial"/>
          <w:b/>
          <w:bCs/>
          <w:color w:val="161616"/>
          <w:sz w:val="24"/>
          <w:szCs w:val="24"/>
          <w:lang w:val="en-US"/>
        </w:rPr>
        <w:t>Article 33 – Psychological violence</w:t>
      </w:r>
    </w:p>
    <w:p w:rsidR="00BC6D43" w:rsidRDefault="00BC6D43" w:rsidP="00BC6D43">
      <w:pPr>
        <w:spacing w:before="100" w:after="100"/>
        <w:ind w:left="284"/>
        <w:jc w:val="both"/>
        <w:rPr>
          <w:rFonts w:ascii="Arial" w:eastAsia="Times New Roman" w:hAnsi="Arial" w:cs="Arial"/>
          <w:color w:val="161616"/>
          <w:sz w:val="24"/>
          <w:szCs w:val="24"/>
          <w:lang w:val="en-US"/>
        </w:rPr>
      </w:pPr>
      <w:r w:rsidRPr="00D506AE">
        <w:rPr>
          <w:rFonts w:ascii="Arial" w:eastAsia="Times New Roman" w:hAnsi="Arial" w:cs="Arial"/>
          <w:color w:val="161616"/>
          <w:sz w:val="24"/>
          <w:szCs w:val="24"/>
          <w:lang w:val="en-US"/>
        </w:rPr>
        <w:t xml:space="preserve">Parties shall take the necessary legislative or other measures to ensure that the intentional conduct of seriously impairing a person’s psychological integrity through coercion or threats </w:t>
      </w:r>
      <w:proofErr w:type="gramStart"/>
      <w:r w:rsidRPr="00D506AE">
        <w:rPr>
          <w:rFonts w:ascii="Arial" w:eastAsia="Times New Roman" w:hAnsi="Arial" w:cs="Arial"/>
          <w:color w:val="161616"/>
          <w:sz w:val="24"/>
          <w:szCs w:val="24"/>
          <w:lang w:val="en-US"/>
        </w:rPr>
        <w:t xml:space="preserve">is </w:t>
      </w:r>
      <w:proofErr w:type="spellStart"/>
      <w:r w:rsidRPr="00D506AE">
        <w:rPr>
          <w:rFonts w:ascii="Arial" w:eastAsia="Times New Roman" w:hAnsi="Arial" w:cs="Arial"/>
          <w:color w:val="161616"/>
          <w:sz w:val="24"/>
          <w:szCs w:val="24"/>
          <w:lang w:val="en-US"/>
        </w:rPr>
        <w:t>criminalised</w:t>
      </w:r>
      <w:proofErr w:type="spellEnd"/>
      <w:proofErr w:type="gramEnd"/>
      <w:r w:rsidRPr="00D506AE">
        <w:rPr>
          <w:rFonts w:ascii="Arial" w:eastAsia="Times New Roman" w:hAnsi="Arial" w:cs="Arial"/>
          <w:color w:val="161616"/>
          <w:sz w:val="24"/>
          <w:szCs w:val="24"/>
          <w:lang w:val="en-US"/>
        </w:rPr>
        <w:t>.</w:t>
      </w:r>
    </w:p>
    <w:p w:rsidR="00BC6D43" w:rsidRDefault="00BC6D43" w:rsidP="00BC6D43">
      <w:pPr>
        <w:spacing w:before="100" w:after="100"/>
        <w:jc w:val="both"/>
        <w:rPr>
          <w:rFonts w:ascii="Arial" w:eastAsia="Times New Roman" w:hAnsi="Arial" w:cs="Arial"/>
          <w:color w:val="161616"/>
          <w:sz w:val="24"/>
          <w:szCs w:val="24"/>
          <w:lang w:val="en-US"/>
        </w:rPr>
      </w:pPr>
    </w:p>
    <w:p w:rsidR="00BC6D43" w:rsidRPr="00D506AE" w:rsidRDefault="00BC6D43" w:rsidP="00BC6D43">
      <w:pPr>
        <w:spacing w:before="100" w:after="100"/>
        <w:jc w:val="both"/>
        <w:rPr>
          <w:rFonts w:ascii="Arial" w:eastAsia="Times New Roman" w:hAnsi="Arial" w:cs="Arial"/>
          <w:color w:val="161616"/>
          <w:sz w:val="24"/>
          <w:szCs w:val="24"/>
          <w:lang w:val="en-US"/>
        </w:rPr>
      </w:pPr>
      <w:r w:rsidRPr="00D506AE">
        <w:rPr>
          <w:rFonts w:ascii="Arial" w:eastAsia="Times New Roman" w:hAnsi="Arial" w:cs="Arial"/>
          <w:b/>
          <w:bCs/>
          <w:color w:val="161616"/>
          <w:sz w:val="24"/>
          <w:szCs w:val="24"/>
          <w:lang w:val="en-US"/>
        </w:rPr>
        <w:t>Article 34 – Stalking</w:t>
      </w:r>
    </w:p>
    <w:p w:rsidR="00BC6D43" w:rsidRDefault="00BC6D43" w:rsidP="00BC6D43">
      <w:pPr>
        <w:spacing w:before="100" w:after="100"/>
        <w:ind w:left="284"/>
        <w:jc w:val="both"/>
        <w:rPr>
          <w:rFonts w:ascii="Arial" w:eastAsia="Times New Roman" w:hAnsi="Arial" w:cs="Arial"/>
          <w:color w:val="161616"/>
          <w:sz w:val="24"/>
          <w:szCs w:val="24"/>
          <w:lang w:val="en-US"/>
        </w:rPr>
      </w:pPr>
      <w:r w:rsidRPr="00D506AE">
        <w:rPr>
          <w:rFonts w:ascii="Arial" w:eastAsia="Times New Roman" w:hAnsi="Arial" w:cs="Arial"/>
          <w:color w:val="161616"/>
          <w:sz w:val="24"/>
          <w:szCs w:val="24"/>
          <w:lang w:val="en-US"/>
        </w:rPr>
        <w:t xml:space="preserve">Parties shall take the necessary legislative or other measures to ensure that the intentional conduct of repeatedly engaging in threatening conduct directed at another person, causing her or him to fear for her or his safety, </w:t>
      </w:r>
      <w:proofErr w:type="gramStart"/>
      <w:r w:rsidRPr="00D506AE">
        <w:rPr>
          <w:rFonts w:ascii="Arial" w:eastAsia="Times New Roman" w:hAnsi="Arial" w:cs="Arial"/>
          <w:color w:val="161616"/>
          <w:sz w:val="24"/>
          <w:szCs w:val="24"/>
          <w:lang w:val="en-US"/>
        </w:rPr>
        <w:t xml:space="preserve">is </w:t>
      </w:r>
      <w:proofErr w:type="spellStart"/>
      <w:r w:rsidRPr="00D506AE">
        <w:rPr>
          <w:rFonts w:ascii="Arial" w:eastAsia="Times New Roman" w:hAnsi="Arial" w:cs="Arial"/>
          <w:color w:val="161616"/>
          <w:sz w:val="24"/>
          <w:szCs w:val="24"/>
          <w:lang w:val="en-US"/>
        </w:rPr>
        <w:t>criminalised</w:t>
      </w:r>
      <w:proofErr w:type="spellEnd"/>
      <w:proofErr w:type="gramEnd"/>
      <w:r w:rsidRPr="00D506AE">
        <w:rPr>
          <w:rFonts w:ascii="Arial" w:eastAsia="Times New Roman" w:hAnsi="Arial" w:cs="Arial"/>
          <w:color w:val="161616"/>
          <w:sz w:val="24"/>
          <w:szCs w:val="24"/>
          <w:lang w:val="en-US"/>
        </w:rPr>
        <w:t>.</w:t>
      </w:r>
    </w:p>
    <w:p w:rsidR="00BC6D43" w:rsidRDefault="00BC6D43" w:rsidP="00BC6D43">
      <w:pPr>
        <w:spacing w:before="100" w:after="100"/>
        <w:jc w:val="both"/>
        <w:rPr>
          <w:rFonts w:ascii="Arial" w:eastAsia="Times New Roman" w:hAnsi="Arial" w:cs="Arial"/>
          <w:color w:val="161616"/>
          <w:sz w:val="24"/>
          <w:szCs w:val="24"/>
          <w:lang w:val="en-US"/>
        </w:rPr>
      </w:pPr>
    </w:p>
    <w:p w:rsidR="00BC6D43" w:rsidRPr="00D506AE" w:rsidRDefault="00BC6D43" w:rsidP="00BC6D43">
      <w:pPr>
        <w:spacing w:before="100" w:after="100"/>
        <w:jc w:val="both"/>
        <w:rPr>
          <w:rFonts w:ascii="Arial" w:eastAsia="Times New Roman" w:hAnsi="Arial" w:cs="Arial"/>
          <w:color w:val="161616"/>
          <w:sz w:val="24"/>
          <w:szCs w:val="24"/>
          <w:lang w:val="en-US"/>
        </w:rPr>
      </w:pPr>
      <w:r w:rsidRPr="00D506AE">
        <w:rPr>
          <w:rFonts w:ascii="Arial" w:eastAsia="Times New Roman" w:hAnsi="Arial" w:cs="Arial"/>
          <w:b/>
          <w:bCs/>
          <w:color w:val="161616"/>
          <w:sz w:val="24"/>
          <w:szCs w:val="24"/>
          <w:lang w:val="en-US"/>
        </w:rPr>
        <w:t>Article 40 – Sexual harassment</w:t>
      </w:r>
    </w:p>
    <w:p w:rsidR="00BC6D43" w:rsidRPr="00D506AE" w:rsidRDefault="00BC6D43" w:rsidP="00BC6D43">
      <w:pPr>
        <w:spacing w:before="100" w:after="100"/>
        <w:ind w:left="284"/>
        <w:jc w:val="both"/>
        <w:rPr>
          <w:rFonts w:ascii="Arial" w:eastAsia="Times New Roman" w:hAnsi="Arial" w:cs="Arial"/>
          <w:color w:val="161616"/>
          <w:sz w:val="24"/>
          <w:szCs w:val="24"/>
          <w:lang w:val="en-US"/>
        </w:rPr>
      </w:pPr>
      <w:r w:rsidRPr="00D506AE">
        <w:rPr>
          <w:rFonts w:ascii="Arial" w:eastAsia="Times New Roman" w:hAnsi="Arial" w:cs="Arial"/>
          <w:color w:val="161616"/>
          <w:sz w:val="24"/>
          <w:szCs w:val="24"/>
          <w:lang w:val="en-US"/>
        </w:rPr>
        <w:t>Parties shall take the necessary legislative or other measures to ensure that any form of unwanted verbal, non-verbal or physical conduct of a sexual nature with the purpose or effect of violating the dignity of a person, in particular when creating an intimidating, hostile, degrading, humiliating or offensive environment, is subject to criminal or other legal sanction.</w:t>
      </w:r>
    </w:p>
    <w:p w:rsidR="00BC6D43" w:rsidRDefault="00BC6D43" w:rsidP="00BC6D43">
      <w:pPr>
        <w:spacing w:before="100" w:after="100"/>
        <w:jc w:val="both"/>
        <w:rPr>
          <w:rFonts w:ascii="Arial" w:eastAsia="Times New Roman" w:hAnsi="Arial" w:cs="Arial"/>
          <w:b/>
          <w:bCs/>
          <w:color w:val="161616"/>
          <w:sz w:val="24"/>
          <w:szCs w:val="24"/>
          <w:lang w:val="en-US"/>
        </w:rPr>
      </w:pPr>
    </w:p>
    <w:p w:rsidR="00BC6D43" w:rsidRPr="00D506AE" w:rsidRDefault="00BC6D43" w:rsidP="00BC6D43">
      <w:pPr>
        <w:spacing w:before="100" w:after="100"/>
        <w:jc w:val="both"/>
        <w:rPr>
          <w:rFonts w:ascii="Arial" w:eastAsia="Times New Roman" w:hAnsi="Arial" w:cs="Arial"/>
          <w:color w:val="161616"/>
          <w:sz w:val="24"/>
          <w:szCs w:val="24"/>
          <w:lang w:val="en-US"/>
        </w:rPr>
      </w:pPr>
      <w:r w:rsidRPr="00D506AE">
        <w:rPr>
          <w:rFonts w:ascii="Arial" w:eastAsia="Times New Roman" w:hAnsi="Arial" w:cs="Arial"/>
          <w:b/>
          <w:bCs/>
          <w:color w:val="161616"/>
          <w:sz w:val="24"/>
          <w:szCs w:val="24"/>
          <w:lang w:val="en-US"/>
        </w:rPr>
        <w:t>Article 17 – Participation of the private sector and the media</w:t>
      </w:r>
    </w:p>
    <w:p w:rsidR="00BC6D43" w:rsidRPr="00D506AE" w:rsidRDefault="00BC6D43" w:rsidP="00BC6D43">
      <w:pPr>
        <w:spacing w:before="100" w:after="100"/>
        <w:ind w:left="284"/>
        <w:jc w:val="both"/>
        <w:rPr>
          <w:rFonts w:ascii="Arial" w:eastAsia="Times New Roman" w:hAnsi="Arial" w:cs="Arial"/>
          <w:color w:val="161616"/>
          <w:sz w:val="24"/>
          <w:szCs w:val="24"/>
          <w:lang w:val="en-US"/>
        </w:rPr>
      </w:pPr>
      <w:r w:rsidRPr="00D506AE">
        <w:rPr>
          <w:rFonts w:ascii="Arial" w:eastAsia="Times New Roman" w:hAnsi="Arial" w:cs="Arial"/>
          <w:color w:val="161616"/>
          <w:sz w:val="24"/>
          <w:szCs w:val="24"/>
          <w:lang w:val="en-US"/>
        </w:rPr>
        <w:t>1Parties shall encourage the private sector, the information and communication technology sector and the media, with due respect for freedom of expression and their independence, to participate in the elaboration and implementation of policies and to set guidelines and self-regulatory standards to prevent violence against women and to enhance respect for their dignity.</w:t>
      </w:r>
    </w:p>
    <w:p w:rsidR="00BC6D43" w:rsidRPr="00D506AE" w:rsidRDefault="00BC6D43" w:rsidP="00BC6D43">
      <w:pPr>
        <w:spacing w:before="100" w:after="100"/>
        <w:ind w:left="284"/>
        <w:jc w:val="both"/>
        <w:rPr>
          <w:rFonts w:ascii="Arial" w:eastAsia="Times New Roman" w:hAnsi="Arial" w:cs="Arial"/>
          <w:color w:val="161616"/>
          <w:sz w:val="24"/>
          <w:szCs w:val="24"/>
          <w:lang w:val="en-US"/>
        </w:rPr>
      </w:pPr>
      <w:r w:rsidRPr="00D506AE">
        <w:rPr>
          <w:rFonts w:ascii="Arial" w:eastAsia="Times New Roman" w:hAnsi="Arial" w:cs="Arial"/>
          <w:color w:val="161616"/>
          <w:sz w:val="24"/>
          <w:szCs w:val="24"/>
          <w:lang w:val="en-US"/>
        </w:rPr>
        <w:t xml:space="preserve">2Parties shall develop and promote, in co-operation with private sector actors, skills among children, parents and educators on how to deal with the information and communications environment that provides access to degrading content of a sexual or violent </w:t>
      </w:r>
      <w:proofErr w:type="gramStart"/>
      <w:r w:rsidRPr="00D506AE">
        <w:rPr>
          <w:rFonts w:ascii="Arial" w:eastAsia="Times New Roman" w:hAnsi="Arial" w:cs="Arial"/>
          <w:color w:val="161616"/>
          <w:sz w:val="24"/>
          <w:szCs w:val="24"/>
          <w:lang w:val="en-US"/>
        </w:rPr>
        <w:t>nature which</w:t>
      </w:r>
      <w:proofErr w:type="gramEnd"/>
      <w:r w:rsidRPr="00D506AE">
        <w:rPr>
          <w:rFonts w:ascii="Arial" w:eastAsia="Times New Roman" w:hAnsi="Arial" w:cs="Arial"/>
          <w:color w:val="161616"/>
          <w:sz w:val="24"/>
          <w:szCs w:val="24"/>
          <w:lang w:val="en-US"/>
        </w:rPr>
        <w:t xml:space="preserve"> might be harmful.</w:t>
      </w:r>
    </w:p>
    <w:p w:rsidR="00BC6D43" w:rsidRDefault="00BC6D43" w:rsidP="00BC6D43">
      <w:pPr>
        <w:jc w:val="both"/>
        <w:rPr>
          <w:sz w:val="32"/>
          <w:szCs w:val="32"/>
          <w:lang w:val="en-US"/>
        </w:rPr>
      </w:pPr>
    </w:p>
    <w:p w:rsidR="00BC6D43" w:rsidRDefault="00BC6D43" w:rsidP="00BC6D43">
      <w:pPr>
        <w:jc w:val="both"/>
        <w:rPr>
          <w:sz w:val="32"/>
          <w:szCs w:val="32"/>
          <w:lang w:val="en-US"/>
        </w:rPr>
      </w:pPr>
    </w:p>
    <w:p w:rsidR="00C2218D" w:rsidRPr="00BC6D43" w:rsidRDefault="00C2218D">
      <w:pPr>
        <w:rPr>
          <w:color w:val="FF0000"/>
          <w:lang w:val="en-US"/>
        </w:rPr>
      </w:pPr>
    </w:p>
    <w:sectPr w:rsidR="00C2218D" w:rsidRPr="00BC6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D43"/>
    <w:rsid w:val="003F4B76"/>
    <w:rsid w:val="00BC6D43"/>
    <w:rsid w:val="00C22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2E7E"/>
  <w15:chartTrackingRefBased/>
  <w15:docId w15:val="{3156E20A-3670-48F4-896A-23FF8F97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D43"/>
    <w:pPr>
      <w:spacing w:after="0" w:line="240" w:lineRule="auto"/>
    </w:pPr>
    <w:rPr>
      <w:rFonts w:ascii="Calibri" w:hAnsi="Calibri" w:cs="Calibri"/>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Baakashvili</dc:creator>
  <cp:keywords/>
  <dc:description/>
  <cp:lastModifiedBy>Nino Baakashvili</cp:lastModifiedBy>
  <cp:revision>2</cp:revision>
  <dcterms:created xsi:type="dcterms:W3CDTF">2020-02-10T14:22:00Z</dcterms:created>
  <dcterms:modified xsi:type="dcterms:W3CDTF">2020-02-10T14:23:00Z</dcterms:modified>
</cp:coreProperties>
</file>